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F9" w:rsidRPr="00060A1E" w:rsidRDefault="00A1488D" w:rsidP="00291060">
      <w:pPr>
        <w:jc w:val="center"/>
        <w:rPr>
          <w:b/>
        </w:rPr>
      </w:pPr>
      <w:r w:rsidRPr="00060A1E">
        <w:rPr>
          <w:b/>
        </w:rPr>
        <w:t>«</w:t>
      </w:r>
      <w:r w:rsidR="00291060" w:rsidRPr="00060A1E">
        <w:rPr>
          <w:b/>
        </w:rPr>
        <w:t>Об изменениях уголовного законодательства</w:t>
      </w:r>
      <w:r w:rsidRPr="00060A1E">
        <w:rPr>
          <w:b/>
        </w:rPr>
        <w:t>»</w:t>
      </w:r>
    </w:p>
    <w:p w:rsidR="00291060" w:rsidRDefault="00291060" w:rsidP="00291060">
      <w:pPr>
        <w:pStyle w:val="a3"/>
        <w:shd w:val="clear" w:color="auto" w:fill="FFFFFF"/>
        <w:spacing w:before="0" w:beforeAutospacing="0"/>
        <w:rPr>
          <w:rFonts w:ascii="Roboto" w:hAnsi="Roboto"/>
          <w:color w:val="333333"/>
        </w:rPr>
      </w:pP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Уголовный кодекс Российской Федерации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Также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A1488D" w:rsidRDefault="00A1488D" w:rsidP="00A1488D"/>
    <w:p w:rsidR="00291060" w:rsidRDefault="00291060" w:rsidP="00A1488D">
      <w:bookmarkStart w:id="0" w:name="_GoBack"/>
      <w:bookmarkEnd w:id="0"/>
    </w:p>
    <w:sectPr w:rsidR="00291060"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6"/>
    <w:rsid w:val="00060A1E"/>
    <w:rsid w:val="00291060"/>
    <w:rsid w:val="00331727"/>
    <w:rsid w:val="005729B6"/>
    <w:rsid w:val="00A1488D"/>
    <w:rsid w:val="00D20747"/>
    <w:rsid w:val="00DC59E6"/>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A1D7"/>
  <w15:chartTrackingRefBased/>
  <w15:docId w15:val="{7AF3B5A9-7D94-45CE-BC44-C27853D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060"/>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Байгазы</cp:lastModifiedBy>
  <cp:revision>4</cp:revision>
  <dcterms:created xsi:type="dcterms:W3CDTF">2022-07-28T13:07:00Z</dcterms:created>
  <dcterms:modified xsi:type="dcterms:W3CDTF">2022-08-08T10:14:00Z</dcterms:modified>
</cp:coreProperties>
</file>